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7F4FE18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r w:rsidR="00984B34">
        <w:t xml:space="preserve"> The Peak Academy</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9F22317" w:rsidR="002940F3" w:rsidRDefault="006C260B">
            <w:pPr>
              <w:pStyle w:val="TableRow"/>
            </w:pPr>
            <w:r>
              <w:t>64</w:t>
            </w:r>
          </w:p>
        </w:tc>
      </w:tr>
      <w:tr w:rsidR="002940F3" w14:paraId="2A7D54BD"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0AA0814" w:rsidR="002940F3" w:rsidRDefault="006C260B">
            <w:pPr>
              <w:pStyle w:val="TableRow"/>
            </w:pPr>
            <w:r>
              <w:t>81%</w:t>
            </w:r>
          </w:p>
        </w:tc>
      </w:tr>
      <w:tr w:rsidR="002940F3" w14:paraId="2A7D54C0"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3654678" w:rsidR="002940F3" w:rsidRDefault="00984B34">
            <w:pPr>
              <w:pStyle w:val="TableRow"/>
            </w:pPr>
            <w:r>
              <w:t>September 2023 – August 2026</w:t>
            </w:r>
          </w:p>
        </w:tc>
      </w:tr>
      <w:tr w:rsidR="002940F3" w14:paraId="2A7D54C3"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82E34AA" w:rsidR="002940F3" w:rsidRDefault="006C260B">
            <w:pPr>
              <w:pStyle w:val="TableRow"/>
            </w:pPr>
            <w:r>
              <w:t>January 2025</w:t>
            </w:r>
          </w:p>
        </w:tc>
      </w:tr>
      <w:tr w:rsidR="002940F3" w14:paraId="2A7D54C6"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7C2EF70" w:rsidR="002940F3" w:rsidRDefault="006C260B">
            <w:pPr>
              <w:pStyle w:val="TableRow"/>
            </w:pPr>
            <w:r>
              <w:t>December</w:t>
            </w:r>
            <w:r w:rsidR="00984B34">
              <w:t xml:space="preserve"> 202</w:t>
            </w:r>
            <w:r>
              <w:t>5</w:t>
            </w:r>
          </w:p>
        </w:tc>
      </w:tr>
      <w:tr w:rsidR="002940F3" w14:paraId="2A7D54C9"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0B452DE" w:rsidR="002940F3" w:rsidRDefault="00984B34">
            <w:pPr>
              <w:pStyle w:val="TableRow"/>
            </w:pPr>
            <w:r>
              <w:t>Elisa Entwistle</w:t>
            </w:r>
          </w:p>
        </w:tc>
      </w:tr>
      <w:tr w:rsidR="002940F3" w14:paraId="2A7D54CC"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58B72BC" w:rsidR="002940F3" w:rsidRDefault="18417531">
            <w:pPr>
              <w:pStyle w:val="TableRow"/>
            </w:pPr>
            <w:proofErr w:type="spellStart"/>
            <w:r>
              <w:t>SENDco</w:t>
            </w:r>
            <w:proofErr w:type="spellEnd"/>
          </w:p>
        </w:tc>
      </w:tr>
      <w:tr w:rsidR="002940F3" w14:paraId="2A7D54CF" w14:textId="77777777" w:rsidTr="5A906E5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3086A26" w:rsidR="002940F3" w:rsidRDefault="00984B34">
            <w:pPr>
              <w:pStyle w:val="TableRow"/>
            </w:pPr>
            <w:r>
              <w:t>TBC</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6E26C444" w:rsidR="00E66558" w:rsidRDefault="009D71E8">
            <w:pPr>
              <w:pStyle w:val="TableRow"/>
            </w:pPr>
            <w:r>
              <w:t>Pupil premium funding allocation this academic year</w:t>
            </w:r>
            <w:r w:rsidR="0084538F">
              <w:t xml:space="preserve"> including LAC funding.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D555249" w:rsidR="00E66558" w:rsidRDefault="009D71E8">
            <w:pPr>
              <w:pStyle w:val="TableRow"/>
            </w:pPr>
            <w:r w:rsidRPr="0084538F">
              <w:rPr>
                <w:highlight w:val="green"/>
              </w:rPr>
              <w:t>£</w:t>
            </w:r>
            <w:r w:rsidR="0084538F" w:rsidRPr="0084538F">
              <w:rPr>
                <w:highlight w:val="green"/>
              </w:rPr>
              <w:t>41,890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B8BD72E" w:rsidR="00E66558" w:rsidRDefault="009D71E8">
            <w:pPr>
              <w:pStyle w:val="TableRow"/>
            </w:pPr>
            <w:r w:rsidRPr="0084538F">
              <w:rPr>
                <w:highlight w:val="green"/>
              </w:rPr>
              <w:t>£</w:t>
            </w:r>
            <w:r w:rsidR="0084538F" w:rsidRPr="0084538F">
              <w:rPr>
                <w:highlight w:val="green"/>
              </w:rPr>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59FD6F6" w:rsidR="00E66558" w:rsidRDefault="009D71E8">
            <w:pPr>
              <w:pStyle w:val="TableRow"/>
            </w:pPr>
            <w:r w:rsidRPr="0084538F">
              <w:rPr>
                <w:highlight w:val="green"/>
              </w:rPr>
              <w:t>£</w:t>
            </w:r>
            <w:r w:rsidR="00984B34" w:rsidRPr="0084538F">
              <w:rPr>
                <w:highlight w:val="green"/>
              </w:rPr>
              <w:t xml:space="preserve"> </w:t>
            </w:r>
            <w:r w:rsidR="0084538F" w:rsidRPr="0084538F">
              <w:rPr>
                <w:highlight w:val="green"/>
              </w:rPr>
              <w:t>5,071.38 LAC funding</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68CBE92" w:rsidR="00E66558" w:rsidRDefault="009D71E8">
            <w:pPr>
              <w:pStyle w:val="TableRow"/>
            </w:pPr>
            <w:r w:rsidRPr="0084538F">
              <w:rPr>
                <w:highlight w:val="green"/>
              </w:rPr>
              <w:t>£</w:t>
            </w:r>
            <w:r w:rsidR="0084538F" w:rsidRPr="0084538F">
              <w:rPr>
                <w:highlight w:val="green"/>
              </w:rPr>
              <w:t>46,961.38</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699C32B3" w14:textId="77777777" w:rsidR="00E763A3" w:rsidRPr="00AD001B" w:rsidRDefault="009D71E8">
            <w:pPr>
              <w:pStyle w:val="ListParagraph"/>
              <w:numPr>
                <w:ilvl w:val="0"/>
                <w:numId w:val="13"/>
              </w:numPr>
              <w:rPr>
                <w:b/>
                <w:i/>
                <w:iCs/>
              </w:rPr>
            </w:pPr>
            <w:r w:rsidRPr="00AD001B">
              <w:rPr>
                <w:b/>
                <w:i/>
                <w:iCs/>
              </w:rPr>
              <w:t>What are your ultimate objectives for your disadvantaged pupils?</w:t>
            </w:r>
            <w:r w:rsidR="00E763A3" w:rsidRPr="00AD001B">
              <w:rPr>
                <w:b/>
                <w:i/>
                <w:iCs/>
              </w:rPr>
              <w:t xml:space="preserve"> </w:t>
            </w:r>
          </w:p>
          <w:p w14:paraId="2A7D54E7" w14:textId="46EC12DB" w:rsidR="00E66558" w:rsidRDefault="00E763A3" w:rsidP="00E763A3">
            <w:pPr>
              <w:pStyle w:val="ListParagraph"/>
              <w:numPr>
                <w:ilvl w:val="0"/>
                <w:numId w:val="0"/>
              </w:numPr>
              <w:ind w:left="720"/>
              <w:rPr>
                <w:i/>
                <w:iCs/>
              </w:rPr>
            </w:pPr>
            <w:r>
              <w:rPr>
                <w:i/>
                <w:iCs/>
              </w:rPr>
              <w:t>As for all pupils at the academy, our ultimate aim is for them to achieve their best possible outcome and gain qualifications that enable them to identify, access and sustain appropriate post 16 provision. Equipping them to find a place in and make a positive contribution to society.</w:t>
            </w:r>
          </w:p>
          <w:p w14:paraId="2A7D54E8" w14:textId="2851E062" w:rsidR="00E66558" w:rsidRPr="00AD001B" w:rsidRDefault="009D71E8">
            <w:pPr>
              <w:pStyle w:val="ListParagraph"/>
              <w:numPr>
                <w:ilvl w:val="0"/>
                <w:numId w:val="13"/>
              </w:numPr>
              <w:rPr>
                <w:b/>
                <w:i/>
                <w:iCs/>
              </w:rPr>
            </w:pPr>
            <w:r w:rsidRPr="00AD001B">
              <w:rPr>
                <w:b/>
                <w:i/>
                <w:iCs/>
              </w:rPr>
              <w:t>How does your current pupil premium strategy plan work towards achieving those objectives?</w:t>
            </w:r>
          </w:p>
          <w:p w14:paraId="6819E3E5" w14:textId="5A418D55" w:rsidR="00E763A3" w:rsidRDefault="00EA0832" w:rsidP="00EA0832">
            <w:pPr>
              <w:pStyle w:val="ListParagraph"/>
              <w:numPr>
                <w:ilvl w:val="0"/>
                <w:numId w:val="0"/>
              </w:numPr>
              <w:ind w:left="720"/>
              <w:rPr>
                <w:i/>
                <w:iCs/>
              </w:rPr>
            </w:pPr>
            <w:r>
              <w:rPr>
                <w:i/>
                <w:iCs/>
              </w:rPr>
              <w:t xml:space="preserve">By supporting pupils to read well, access to the curriculum will be improved, leading to better outcomes.  By supporting pupils to </w:t>
            </w:r>
            <w:r w:rsidR="00AD001B">
              <w:rPr>
                <w:i/>
                <w:iCs/>
              </w:rPr>
              <w:t>self-regulate</w:t>
            </w:r>
            <w:r>
              <w:rPr>
                <w:i/>
                <w:iCs/>
              </w:rPr>
              <w:t xml:space="preserve"> and develop their social and emotional skills they are able to ask for help and engage in activities more successfully outside of school life</w:t>
            </w:r>
          </w:p>
          <w:p w14:paraId="3379A7B0" w14:textId="77777777" w:rsidR="00E66558" w:rsidRPr="00AD001B" w:rsidRDefault="009D71E8">
            <w:pPr>
              <w:pStyle w:val="ListParagraph"/>
              <w:numPr>
                <w:ilvl w:val="0"/>
                <w:numId w:val="13"/>
              </w:numPr>
              <w:rPr>
                <w:b/>
                <w:i/>
                <w:iCs/>
              </w:rPr>
            </w:pPr>
            <w:r w:rsidRPr="00AD001B">
              <w:rPr>
                <w:b/>
                <w:i/>
                <w:iCs/>
              </w:rPr>
              <w:t>What are the key principles of your strategy plan?</w:t>
            </w:r>
          </w:p>
          <w:p w14:paraId="2A7D54E9" w14:textId="7BD4C8A5" w:rsidR="00E763A3" w:rsidRDefault="00EA0832" w:rsidP="00EA0832">
            <w:pPr>
              <w:pStyle w:val="ListParagraph"/>
              <w:numPr>
                <w:ilvl w:val="0"/>
                <w:numId w:val="0"/>
              </w:numPr>
              <w:ind w:left="720"/>
              <w:rPr>
                <w:i/>
                <w:iCs/>
              </w:rPr>
            </w:pPr>
            <w:r>
              <w:rPr>
                <w:i/>
                <w:iCs/>
              </w:rPr>
              <w:t>The key principle of our strategy is to support pupils to grow socially and emotionally so as to remove barriers and improve access to the curriculum and wider life opportunities.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9D8AB3D" w:rsidR="00E66558" w:rsidRPr="00AD001B" w:rsidRDefault="00AD001B">
            <w:pPr>
              <w:pStyle w:val="TableRowCentered"/>
              <w:jc w:val="left"/>
              <w:rPr>
                <w:sz w:val="22"/>
                <w:szCs w:val="22"/>
              </w:rPr>
            </w:pPr>
            <w:r>
              <w:rPr>
                <w:sz w:val="22"/>
                <w:szCs w:val="22"/>
              </w:rPr>
              <w:t>Pupils lack the r</w:t>
            </w:r>
            <w:r w:rsidR="00E763A3" w:rsidRPr="00AD001B">
              <w:rPr>
                <w:sz w:val="22"/>
                <w:szCs w:val="22"/>
              </w:rPr>
              <w:t>esilience to cope with academic rigor</w:t>
            </w:r>
            <w:r>
              <w:rPr>
                <w:sz w:val="22"/>
                <w:szCs w:val="22"/>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82E277D" w:rsidR="00E66558" w:rsidRDefault="00E763A3">
            <w:pPr>
              <w:pStyle w:val="TableRowCentered"/>
              <w:jc w:val="left"/>
              <w:rPr>
                <w:sz w:val="22"/>
                <w:szCs w:val="22"/>
              </w:rPr>
            </w:pPr>
            <w:r>
              <w:rPr>
                <w:sz w:val="22"/>
                <w:szCs w:val="22"/>
              </w:rPr>
              <w:t xml:space="preserve">Reading ages are often far below chronological age therefore </w:t>
            </w:r>
            <w:r w:rsidR="00AD001B">
              <w:rPr>
                <w:sz w:val="22"/>
                <w:szCs w:val="22"/>
              </w:rPr>
              <w:t>pupils</w:t>
            </w:r>
            <w:r>
              <w:rPr>
                <w:sz w:val="22"/>
                <w:szCs w:val="22"/>
              </w:rPr>
              <w:t xml:space="preserve"> struggle to access the curriculum</w:t>
            </w:r>
            <w:r w:rsidR="00AD001B">
              <w:rPr>
                <w:sz w:val="22"/>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DADC891" w:rsidR="00E66558" w:rsidRDefault="00E763A3">
            <w:pPr>
              <w:pStyle w:val="TableRowCentered"/>
              <w:jc w:val="left"/>
              <w:rPr>
                <w:sz w:val="22"/>
                <w:szCs w:val="22"/>
              </w:rPr>
            </w:pPr>
            <w:r>
              <w:rPr>
                <w:sz w:val="22"/>
                <w:szCs w:val="22"/>
              </w:rPr>
              <w:t>Social skills and understanding of social expectations are poor</w:t>
            </w:r>
            <w:r w:rsidR="00AD001B">
              <w:rPr>
                <w:sz w:val="22"/>
                <w:szCs w:val="22"/>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EF43A90" w:rsidR="00E66558" w:rsidRDefault="00E763A3">
            <w:pPr>
              <w:pStyle w:val="TableRowCentered"/>
              <w:jc w:val="left"/>
              <w:rPr>
                <w:iCs/>
                <w:sz w:val="22"/>
              </w:rPr>
            </w:pPr>
            <w:r>
              <w:rPr>
                <w:iCs/>
                <w:sz w:val="22"/>
              </w:rPr>
              <w:t>Inability to self-regulate well and access learning</w:t>
            </w:r>
            <w:r w:rsidR="00AD001B">
              <w:rPr>
                <w:iCs/>
                <w:sz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A77A8FD" w:rsidR="00E66558" w:rsidRDefault="00E763A3">
            <w:pPr>
              <w:pStyle w:val="TableRowCentered"/>
              <w:jc w:val="left"/>
              <w:rPr>
                <w:iCs/>
                <w:sz w:val="22"/>
              </w:rPr>
            </w:pPr>
            <w:r>
              <w:rPr>
                <w:iCs/>
                <w:sz w:val="22"/>
              </w:rPr>
              <w:t xml:space="preserve">Lack of good support and </w:t>
            </w:r>
            <w:r w:rsidR="00903F64">
              <w:rPr>
                <w:iCs/>
                <w:sz w:val="22"/>
              </w:rPr>
              <w:t>positive role models at home</w:t>
            </w:r>
            <w:r w:rsidR="00AD001B">
              <w:rPr>
                <w:iCs/>
                <w:sz w:val="22"/>
              </w:rPr>
              <w:t>.</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627B479" w:rsidR="00E66558" w:rsidRPr="00AD001B" w:rsidRDefault="00903F64">
            <w:pPr>
              <w:pStyle w:val="TableRow"/>
              <w:rPr>
                <w:sz w:val="22"/>
                <w:szCs w:val="22"/>
              </w:rPr>
            </w:pPr>
            <w:r w:rsidRPr="00AD001B">
              <w:rPr>
                <w:sz w:val="22"/>
                <w:szCs w:val="22"/>
              </w:rPr>
              <w:t>Gaps in social and emotional learning have been identified and targeted learning and intervention put in place.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FBDE" w14:textId="77777777" w:rsidR="00E66558" w:rsidRDefault="00903F64" w:rsidP="00903F64">
            <w:pPr>
              <w:pStyle w:val="TableRowCentered"/>
              <w:numPr>
                <w:ilvl w:val="0"/>
                <w:numId w:val="15"/>
              </w:numPr>
              <w:jc w:val="left"/>
              <w:rPr>
                <w:sz w:val="22"/>
                <w:szCs w:val="22"/>
              </w:rPr>
            </w:pPr>
            <w:r>
              <w:rPr>
                <w:sz w:val="22"/>
                <w:szCs w:val="22"/>
              </w:rPr>
              <w:t>Sleuth data shows that there are fewer recorded incidents of pupils leaving class.</w:t>
            </w:r>
          </w:p>
          <w:p w14:paraId="2A7D5505" w14:textId="73793F11" w:rsidR="00903F64" w:rsidRDefault="00903F64" w:rsidP="00903F64">
            <w:pPr>
              <w:pStyle w:val="TableRowCentered"/>
              <w:numPr>
                <w:ilvl w:val="0"/>
                <w:numId w:val="15"/>
              </w:numPr>
              <w:jc w:val="left"/>
              <w:rPr>
                <w:sz w:val="22"/>
                <w:szCs w:val="22"/>
              </w:rPr>
            </w:pPr>
            <w:r>
              <w:rPr>
                <w:sz w:val="22"/>
                <w:szCs w:val="22"/>
              </w:rPr>
              <w:t>Thrive assessments show that pupils make progress in relation to their starting points.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CBA070B" w:rsidR="00E66558" w:rsidRDefault="00903F64" w:rsidP="00903F64">
            <w:pPr>
              <w:pStyle w:val="TableRow"/>
              <w:ind w:left="0"/>
              <w:rPr>
                <w:sz w:val="22"/>
                <w:szCs w:val="22"/>
              </w:rPr>
            </w:pPr>
            <w:r>
              <w:rPr>
                <w:sz w:val="22"/>
                <w:szCs w:val="22"/>
              </w:rPr>
              <w:t>Pupils make more than expected progress in their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3439A" w14:textId="77777777" w:rsidR="00E66558" w:rsidRDefault="001344A5" w:rsidP="001344A5">
            <w:pPr>
              <w:pStyle w:val="TableRowCentered"/>
              <w:numPr>
                <w:ilvl w:val="0"/>
                <w:numId w:val="16"/>
              </w:numPr>
              <w:jc w:val="left"/>
              <w:rPr>
                <w:sz w:val="22"/>
                <w:szCs w:val="22"/>
              </w:rPr>
            </w:pPr>
            <w:r>
              <w:rPr>
                <w:sz w:val="22"/>
                <w:szCs w:val="22"/>
              </w:rPr>
              <w:t>Most pupils improve their reading scores by more than 12 months</w:t>
            </w:r>
          </w:p>
          <w:p w14:paraId="00581218" w14:textId="77777777" w:rsidR="001344A5" w:rsidRDefault="001344A5" w:rsidP="001344A5">
            <w:pPr>
              <w:pStyle w:val="TableRowCentered"/>
              <w:numPr>
                <w:ilvl w:val="0"/>
                <w:numId w:val="16"/>
              </w:numPr>
              <w:jc w:val="left"/>
              <w:rPr>
                <w:sz w:val="22"/>
                <w:szCs w:val="22"/>
              </w:rPr>
            </w:pPr>
            <w:r>
              <w:rPr>
                <w:sz w:val="22"/>
                <w:szCs w:val="22"/>
              </w:rPr>
              <w:t>Some pupils with identified learning needs make greater progress than during previous assessment periods</w:t>
            </w:r>
            <w:r w:rsidR="00E32A3E">
              <w:rPr>
                <w:sz w:val="22"/>
                <w:szCs w:val="22"/>
              </w:rPr>
              <w:t>.</w:t>
            </w:r>
          </w:p>
          <w:p w14:paraId="2A7D550B" w14:textId="77367CA1" w:rsidR="00E32A3E" w:rsidRDefault="00E32A3E" w:rsidP="00E32A3E">
            <w:pPr>
              <w:pStyle w:val="TableRowCentered"/>
              <w:ind w:left="360"/>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EC1AF5F" w:rsidR="00E66558" w:rsidRDefault="00903F64">
            <w:pPr>
              <w:pStyle w:val="TableRow"/>
              <w:rPr>
                <w:sz w:val="22"/>
                <w:szCs w:val="22"/>
              </w:rPr>
            </w:pPr>
            <w:r>
              <w:rPr>
                <w:sz w:val="22"/>
                <w:szCs w:val="22"/>
              </w:rPr>
              <w:t>Pupils are better able to regulate and remain in lessons longer</w:t>
            </w:r>
            <w:r w:rsidR="001C749C">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9B6" w14:textId="77777777" w:rsidR="00E66558" w:rsidRDefault="00E32A3E" w:rsidP="00E32A3E">
            <w:pPr>
              <w:pStyle w:val="TableRowCentered"/>
              <w:numPr>
                <w:ilvl w:val="0"/>
                <w:numId w:val="18"/>
              </w:numPr>
              <w:jc w:val="left"/>
              <w:rPr>
                <w:sz w:val="22"/>
                <w:szCs w:val="22"/>
              </w:rPr>
            </w:pPr>
            <w:r>
              <w:rPr>
                <w:sz w:val="22"/>
                <w:szCs w:val="22"/>
              </w:rPr>
              <w:t>Pupils new to the school have identified strategies to support transition</w:t>
            </w:r>
          </w:p>
          <w:p w14:paraId="0A54F496" w14:textId="77777777" w:rsidR="00E32A3E" w:rsidRDefault="00E32A3E" w:rsidP="00E32A3E">
            <w:pPr>
              <w:pStyle w:val="TableRowCentered"/>
              <w:numPr>
                <w:ilvl w:val="0"/>
                <w:numId w:val="18"/>
              </w:numPr>
              <w:jc w:val="left"/>
              <w:rPr>
                <w:sz w:val="22"/>
                <w:szCs w:val="22"/>
              </w:rPr>
            </w:pPr>
            <w:r>
              <w:rPr>
                <w:sz w:val="22"/>
                <w:szCs w:val="22"/>
              </w:rPr>
              <w:t>Sleuth data for pupils new to the school show reduced incident rates, particularly in regard to leaving lessons</w:t>
            </w:r>
          </w:p>
          <w:p w14:paraId="46256087" w14:textId="5F56F28A" w:rsidR="00E32A3E" w:rsidRDefault="00E32A3E" w:rsidP="00E32A3E">
            <w:pPr>
              <w:pStyle w:val="TableRowCentered"/>
              <w:numPr>
                <w:ilvl w:val="0"/>
                <w:numId w:val="18"/>
              </w:numPr>
              <w:jc w:val="left"/>
              <w:rPr>
                <w:sz w:val="22"/>
                <w:szCs w:val="22"/>
              </w:rPr>
            </w:pPr>
            <w:r>
              <w:rPr>
                <w:sz w:val="22"/>
                <w:szCs w:val="22"/>
              </w:rPr>
              <w:t xml:space="preserve">Pupils with high incident rates have plans in place that support them well, leading to reducing incident rates. </w:t>
            </w:r>
          </w:p>
          <w:p w14:paraId="2A7D550E" w14:textId="47533104" w:rsidR="00E32A3E" w:rsidRDefault="00E32A3E" w:rsidP="00E32A3E">
            <w:pPr>
              <w:pStyle w:val="TableRowCentered"/>
              <w:ind w:left="360"/>
              <w:jc w:val="left"/>
              <w:rPr>
                <w:sz w:val="22"/>
                <w:szCs w:val="22"/>
              </w:rPr>
            </w:pPr>
          </w:p>
        </w:tc>
      </w:tr>
      <w:tr w:rsidR="00EA0832" w14:paraId="5F06B78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7BA17" w14:textId="73C69DBA" w:rsidR="00EA0832" w:rsidRDefault="00EA0832">
            <w:pPr>
              <w:pStyle w:val="TableRow"/>
              <w:rPr>
                <w:sz w:val="22"/>
                <w:szCs w:val="22"/>
              </w:rPr>
            </w:pPr>
            <w:r>
              <w:rPr>
                <w:sz w:val="22"/>
                <w:szCs w:val="22"/>
              </w:rPr>
              <w:t>Pupils have opportunity to broaden their social capital</w:t>
            </w:r>
            <w:r w:rsidR="00A241A1">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C733" w14:textId="66FAC4E2" w:rsidR="00EA0832" w:rsidRDefault="00EA0832" w:rsidP="00E32A3E">
            <w:pPr>
              <w:pStyle w:val="TableRowCentered"/>
              <w:numPr>
                <w:ilvl w:val="0"/>
                <w:numId w:val="18"/>
              </w:numPr>
              <w:jc w:val="left"/>
              <w:rPr>
                <w:sz w:val="22"/>
                <w:szCs w:val="22"/>
              </w:rPr>
            </w:pPr>
            <w:r>
              <w:rPr>
                <w:sz w:val="22"/>
                <w:szCs w:val="22"/>
              </w:rPr>
              <w:t>All pupils have the opportunity to attend a variety of school trips.</w:t>
            </w:r>
          </w:p>
          <w:p w14:paraId="3FCAB822" w14:textId="0B40291B" w:rsidR="00EA0832" w:rsidRDefault="00EA0832" w:rsidP="00E32A3E">
            <w:pPr>
              <w:pStyle w:val="TableRowCentered"/>
              <w:numPr>
                <w:ilvl w:val="0"/>
                <w:numId w:val="18"/>
              </w:numPr>
              <w:jc w:val="left"/>
              <w:rPr>
                <w:sz w:val="22"/>
                <w:szCs w:val="22"/>
              </w:rPr>
            </w:pPr>
            <w:r>
              <w:rPr>
                <w:sz w:val="22"/>
                <w:szCs w:val="22"/>
              </w:rPr>
              <w:t>Positive role models identified for pupils that lack these elsewhere.</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5D5F473" w:rsidR="00E66558" w:rsidRDefault="009D71E8">
      <w:r>
        <w:t xml:space="preserve">Budgeted cost: £ </w:t>
      </w:r>
      <w:r w:rsidR="00A241A1">
        <w:rPr>
          <w:i/>
          <w:iCs/>
        </w:rPr>
        <w:t>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CBECBAB" w:rsidR="00E66558" w:rsidRDefault="006C260B">
            <w:pPr>
              <w:pStyle w:val="TableRow"/>
            </w:pPr>
            <w:r>
              <w:t xml:space="preserve">Widen </w:t>
            </w:r>
            <w:r w:rsidR="00EA0832">
              <w:t xml:space="preserve">the </w:t>
            </w:r>
            <w:r>
              <w:t xml:space="preserve">delivery of the </w:t>
            </w:r>
            <w:r w:rsidR="00EA0832">
              <w:t>SEL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5B4C986" w:rsidR="00E66558" w:rsidRDefault="0082014A">
            <w:pPr>
              <w:pStyle w:val="TableRowCentered"/>
              <w:jc w:val="left"/>
              <w:rPr>
                <w:sz w:val="22"/>
              </w:rPr>
            </w:pPr>
            <w:proofErr w:type="spellStart"/>
            <w:r>
              <w:rPr>
                <w:sz w:val="22"/>
              </w:rPr>
              <w:t>IntegratED</w:t>
            </w:r>
            <w:proofErr w:type="spellEnd"/>
            <w:r>
              <w:rPr>
                <w:sz w:val="22"/>
              </w:rPr>
              <w:t xml:space="preserve"> Supporting the whole child.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AFD3F35" w:rsidR="00E66558" w:rsidRDefault="008170CB">
            <w:pPr>
              <w:pStyle w:val="TableRowCentered"/>
              <w:jc w:val="left"/>
              <w:rPr>
                <w:sz w:val="22"/>
              </w:rPr>
            </w:pPr>
            <w:r>
              <w:rPr>
                <w:sz w:val="22"/>
              </w:rPr>
              <w:t>1,2,3,4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3CD4AFC" w:rsidR="00E66558" w:rsidRPr="002B08CE" w:rsidRDefault="002B08CE">
            <w:pPr>
              <w:pStyle w:val="TableRow"/>
              <w:rPr>
                <w:sz w:val="22"/>
              </w:rPr>
            </w:pPr>
            <w:r w:rsidRPr="002B08CE">
              <w:rPr>
                <w:sz w:val="22"/>
              </w:rPr>
              <w:t xml:space="preserve">Train Senior leader in </w:t>
            </w:r>
            <w:r w:rsidR="00302A3F">
              <w:rPr>
                <w:sz w:val="22"/>
              </w:rPr>
              <w:t>leading high quality CPD for all staff</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A9E1860" w:rsidR="00E66558" w:rsidRDefault="002B08CE">
            <w:pPr>
              <w:pStyle w:val="TableRowCentered"/>
              <w:jc w:val="left"/>
              <w:rPr>
                <w:sz w:val="22"/>
              </w:rPr>
            </w:pPr>
            <w:r>
              <w:t>Evidence suggests that teacher quality is among the most important determinants of educational achievement (Coe et al., 2020; Hattie, 2009; Burgess, 2016; Allen et al. 2016), second only to pupil background (OECD, 2015). Ensuring every teacher is supported in delivering high-quality teaching is essential to achieving the best outcomes for all pupils, particularly the most disadvantaged among them.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D0192C2" w:rsidR="00E66558" w:rsidRDefault="008170CB">
            <w:pPr>
              <w:pStyle w:val="TableRowCentered"/>
              <w:jc w:val="left"/>
              <w:rPr>
                <w:sz w:val="22"/>
              </w:rPr>
            </w:pPr>
            <w:r>
              <w:rPr>
                <w:sz w:val="22"/>
              </w:rPr>
              <w:t>1,2,3,4</w:t>
            </w:r>
          </w:p>
        </w:tc>
      </w:tr>
      <w:tr w:rsidR="002B08CE" w14:paraId="4C9A127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CFB7" w14:textId="74AB466F" w:rsidR="002B08CE" w:rsidRPr="002B08CE" w:rsidRDefault="002B08CE">
            <w:pPr>
              <w:pStyle w:val="TableRow"/>
              <w:rPr>
                <w:sz w:val="22"/>
              </w:rPr>
            </w:pPr>
            <w:r>
              <w:rPr>
                <w:sz w:val="22"/>
              </w:rPr>
              <w:t>Provide time for coaching and mentoring of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77D2" w14:textId="1F8CA194" w:rsidR="002B08CE" w:rsidRDefault="008170CB">
            <w:pPr>
              <w:pStyle w:val="TableRowCentered"/>
              <w:jc w:val="left"/>
              <w:rPr>
                <w:sz w:val="22"/>
              </w:rPr>
            </w:pPr>
            <w:r>
              <w:rPr>
                <w:sz w:val="22"/>
              </w:rPr>
              <w:t>See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930C" w14:textId="58D9DD19" w:rsidR="002B08CE" w:rsidRDefault="008170CB">
            <w:pPr>
              <w:pStyle w:val="TableRowCentered"/>
              <w:jc w:val="left"/>
              <w:rPr>
                <w:sz w:val="22"/>
              </w:rPr>
            </w:pPr>
            <w:r>
              <w:rPr>
                <w:sz w:val="22"/>
              </w:rPr>
              <w:t>1,2,3,4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50DABEF" w:rsidR="00E66558" w:rsidRDefault="009D71E8">
      <w:r>
        <w:t xml:space="preserve">Budgeted cost: £ </w:t>
      </w:r>
      <w:r w:rsidR="00D7752C">
        <w:rPr>
          <w:i/>
          <w:iCs/>
        </w:rPr>
        <w:t>£15,000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817EDED" w:rsidR="00E66558" w:rsidRDefault="002B08CE">
            <w:pPr>
              <w:pStyle w:val="TableRow"/>
            </w:pPr>
            <w:r>
              <w:t>Literacy interventions, including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039DBE1" w:rsidR="00E66558" w:rsidRDefault="008170CB">
            <w:pPr>
              <w:pStyle w:val="TableRowCentered"/>
              <w:jc w:val="left"/>
              <w:rPr>
                <w:sz w:val="22"/>
              </w:rPr>
            </w:pPr>
            <w:r>
              <w:rPr>
                <w:sz w:val="22"/>
              </w:rPr>
              <w:t xml:space="preserve">EEF </w:t>
            </w:r>
            <w:r w:rsidR="00290B77">
              <w:rPr>
                <w:sz w:val="22"/>
              </w:rPr>
              <w:t xml:space="preserve">teaching and learning </w:t>
            </w:r>
            <w:r>
              <w:rPr>
                <w:sz w:val="22"/>
              </w:rPr>
              <w:t>toolkit</w:t>
            </w:r>
            <w:r w:rsidR="00290B77">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D6E6CBB" w:rsidR="00E66558" w:rsidRDefault="00290B77">
            <w:pPr>
              <w:pStyle w:val="TableRowCentered"/>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448A082" w:rsidR="00E66558" w:rsidRPr="00302A3F" w:rsidRDefault="002B08CE">
            <w:pPr>
              <w:pStyle w:val="TableRow"/>
              <w:rPr>
                <w:sz w:val="22"/>
              </w:rPr>
            </w:pPr>
            <w:r w:rsidRPr="00302A3F">
              <w:rPr>
                <w:sz w:val="22"/>
              </w:rPr>
              <w:t>CPD programme for teaching assistants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CBE5923" w:rsidR="00E66558" w:rsidRDefault="00290B77">
            <w:pPr>
              <w:pStyle w:val="TableRowCentered"/>
              <w:jc w:val="left"/>
              <w:rPr>
                <w:sz w:val="22"/>
              </w:rPr>
            </w:pPr>
            <w:r>
              <w:rPr>
                <w:sz w:val="22"/>
              </w:rPr>
              <w:t>EEF teaching and learning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3218DE7" w:rsidR="00E66558" w:rsidRDefault="00290B77">
            <w:pPr>
              <w:pStyle w:val="TableRowCentered"/>
              <w:jc w:val="left"/>
              <w:rPr>
                <w:sz w:val="22"/>
              </w:rPr>
            </w:pPr>
            <w:r>
              <w:rPr>
                <w:sz w:val="22"/>
              </w:rPr>
              <w:t>1,2,3,4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87F94B1" w:rsidR="00E66558" w:rsidRDefault="009D71E8">
      <w:pPr>
        <w:spacing w:before="240" w:after="120"/>
      </w:pPr>
      <w:r>
        <w:t xml:space="preserve">Budgeted cost: £ </w:t>
      </w:r>
      <w:r w:rsidR="00BF2EC7">
        <w:rPr>
          <w:i/>
          <w:iCs/>
        </w:rPr>
        <w:t>16,981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E5E5E27" w:rsidR="00E66558" w:rsidRDefault="002B08CE">
            <w:pPr>
              <w:pStyle w:val="TableRow"/>
            </w:pPr>
            <w:r>
              <w:t xml:space="preserve">Thrive </w:t>
            </w:r>
            <w:r w:rsidR="00302A3F">
              <w:t>development and embedding as part of school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181A3F2" w:rsidR="00E66558" w:rsidRDefault="00290B77">
            <w:pPr>
              <w:pStyle w:val="TableRowCentered"/>
              <w:jc w:val="left"/>
              <w:rPr>
                <w:sz w:val="22"/>
              </w:rPr>
            </w:pPr>
            <w:r>
              <w:rPr>
                <w:sz w:val="22"/>
              </w:rPr>
              <w:t>The Thrive approach, evidence and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0FE73BA" w:rsidR="00E66558" w:rsidRDefault="00290B77">
            <w:pPr>
              <w:pStyle w:val="TableRowCentered"/>
              <w:jc w:val="left"/>
              <w:rPr>
                <w:sz w:val="22"/>
              </w:rPr>
            </w:pPr>
            <w:r>
              <w:rPr>
                <w:sz w:val="22"/>
              </w:rPr>
              <w:t>2,4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CD0E4A4" w:rsidR="00E66558" w:rsidRPr="00302A3F" w:rsidRDefault="002B08CE">
            <w:pPr>
              <w:pStyle w:val="TableRow"/>
              <w:rPr>
                <w:sz w:val="22"/>
              </w:rPr>
            </w:pPr>
            <w:r w:rsidRPr="00302A3F">
              <w:rPr>
                <w:sz w:val="22"/>
              </w:rPr>
              <w:t>Individual pupil mentoring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D00C" w14:textId="77777777" w:rsidR="00E66558" w:rsidRDefault="00290B77">
            <w:pPr>
              <w:pStyle w:val="TableRowCentered"/>
              <w:jc w:val="left"/>
              <w:rPr>
                <w:sz w:val="22"/>
              </w:rPr>
            </w:pPr>
            <w:r>
              <w:rPr>
                <w:sz w:val="22"/>
              </w:rPr>
              <w:t>Youth.gov lists the benefits of mentoring as:</w:t>
            </w:r>
          </w:p>
          <w:p w14:paraId="3978D55A" w14:textId="77777777"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Increased high school graduation rates</w:t>
            </w:r>
          </w:p>
          <w:p w14:paraId="6B9DAC98" w14:textId="77777777"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Lower high school dropout rates</w:t>
            </w:r>
          </w:p>
          <w:p w14:paraId="1AF32753" w14:textId="77777777"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Healthier relationships and lifestyle choices</w:t>
            </w:r>
          </w:p>
          <w:p w14:paraId="7D386866" w14:textId="77777777"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Better attitude about school</w:t>
            </w:r>
          </w:p>
          <w:p w14:paraId="780A1BAB" w14:textId="62CEFFB1"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 xml:space="preserve">Higher college </w:t>
            </w:r>
            <w:r w:rsidR="009103DE" w:rsidRPr="00290B77">
              <w:rPr>
                <w:rFonts w:ascii="Helvetica" w:hAnsi="Helvetica" w:cs="Helvetica"/>
                <w:color w:val="666666"/>
              </w:rPr>
              <w:t>enrolment</w:t>
            </w:r>
            <w:r w:rsidRPr="00290B77">
              <w:rPr>
                <w:rFonts w:ascii="Helvetica" w:hAnsi="Helvetica" w:cs="Helvetica"/>
                <w:color w:val="666666"/>
              </w:rPr>
              <w:t xml:space="preserve"> rates and higher educational aspirations</w:t>
            </w:r>
          </w:p>
          <w:p w14:paraId="36D470D3" w14:textId="77777777"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Enhanced self-esteem and self-confidence</w:t>
            </w:r>
          </w:p>
          <w:p w14:paraId="0EF91251" w14:textId="0DD00A58"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Improved behavio</w:t>
            </w:r>
            <w:r>
              <w:rPr>
                <w:rFonts w:ascii="Helvetica" w:hAnsi="Helvetica" w:cs="Helvetica"/>
                <w:color w:val="666666"/>
              </w:rPr>
              <w:t>u</w:t>
            </w:r>
            <w:r w:rsidRPr="00290B77">
              <w:rPr>
                <w:rFonts w:ascii="Helvetica" w:hAnsi="Helvetica" w:cs="Helvetica"/>
                <w:color w:val="666666"/>
              </w:rPr>
              <w:t>r, both at home and at school</w:t>
            </w:r>
          </w:p>
          <w:p w14:paraId="044061BB" w14:textId="77777777"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Stronger relationships with parents, teachers, and peers</w:t>
            </w:r>
          </w:p>
          <w:p w14:paraId="34F1EE2B" w14:textId="77777777" w:rsidR="00290B77" w:rsidRP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Improved interpersonal skills</w:t>
            </w:r>
          </w:p>
          <w:p w14:paraId="404ABA0B" w14:textId="062DA0AF" w:rsidR="00290B77" w:rsidRDefault="00290B77" w:rsidP="00290B77">
            <w:pPr>
              <w:numPr>
                <w:ilvl w:val="0"/>
                <w:numId w:val="19"/>
              </w:numPr>
              <w:shd w:val="clear" w:color="auto" w:fill="FFFFFF"/>
              <w:suppressAutoHyphens w:val="0"/>
              <w:autoSpaceDN/>
              <w:spacing w:before="100" w:beforeAutospacing="1" w:after="100" w:afterAutospacing="1" w:line="360" w:lineRule="atLeast"/>
              <w:rPr>
                <w:rFonts w:ascii="Helvetica" w:hAnsi="Helvetica" w:cs="Helvetica"/>
                <w:color w:val="666666"/>
              </w:rPr>
            </w:pPr>
            <w:r w:rsidRPr="00290B77">
              <w:rPr>
                <w:rFonts w:ascii="Helvetica" w:hAnsi="Helvetica" w:cs="Helvetica"/>
                <w:color w:val="666666"/>
              </w:rPr>
              <w:t>Decreased likelihood of initiating drug and alcohol use (MENTOR, 2009; Cavell, DuBois, Karcher, Keller, &amp; Rhodes, 2009</w:t>
            </w:r>
            <w:r>
              <w:rPr>
                <w:rFonts w:ascii="Helvetica" w:hAnsi="Helvetica" w:cs="Helvetica"/>
                <w:color w:val="666666"/>
              </w:rPr>
              <w:t>)</w:t>
            </w:r>
          </w:p>
          <w:p w14:paraId="2A7D553D" w14:textId="58C8908B" w:rsidR="00290B77" w:rsidRDefault="00290B77" w:rsidP="00290B77">
            <w:pPr>
              <w:shd w:val="clear" w:color="auto" w:fill="FFFFFF"/>
              <w:suppressAutoHyphens w:val="0"/>
              <w:autoSpaceDN/>
              <w:spacing w:before="100" w:beforeAutospacing="1" w:after="100" w:afterAutospacing="1" w:line="360" w:lineRule="atLeast"/>
              <w:rPr>
                <w:sz w:val="22"/>
              </w:rPr>
            </w:pPr>
            <w:proofErr w:type="gramStart"/>
            <w:r>
              <w:rPr>
                <w:rFonts w:ascii="Helvetica" w:hAnsi="Helvetica" w:cs="Helvetica"/>
                <w:color w:val="666666"/>
              </w:rPr>
              <w:t>However</w:t>
            </w:r>
            <w:proofErr w:type="gramEnd"/>
            <w:r>
              <w:rPr>
                <w:rFonts w:ascii="Helvetica" w:hAnsi="Helvetica" w:cs="Helvetica"/>
                <w:color w:val="666666"/>
              </w:rPr>
              <w:t xml:space="preserve"> it is recognised that educational benefits may stop when the mentoring stops.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CAA86DA" w:rsidR="00E66558" w:rsidRDefault="00290B77">
            <w:pPr>
              <w:pStyle w:val="TableRowCentered"/>
              <w:jc w:val="left"/>
              <w:rPr>
                <w:sz w:val="22"/>
              </w:rPr>
            </w:pPr>
            <w:r>
              <w:rPr>
                <w:sz w:val="22"/>
              </w:rPr>
              <w:t>5</w:t>
            </w:r>
          </w:p>
        </w:tc>
      </w:tr>
      <w:tr w:rsidR="00302A3F" w14:paraId="364BE7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9B4A" w14:textId="27760795" w:rsidR="00302A3F" w:rsidRPr="00302A3F" w:rsidRDefault="00302A3F">
            <w:pPr>
              <w:pStyle w:val="TableRow"/>
              <w:rPr>
                <w:sz w:val="22"/>
              </w:rPr>
            </w:pPr>
            <w:r w:rsidRPr="00302A3F">
              <w:rPr>
                <w:sz w:val="22"/>
              </w:rPr>
              <w:t>Supporting HTR pupils to remain on school site and access school curriculum for as much of their timetable as is practicable.</w:t>
            </w:r>
            <w:r>
              <w:rPr>
                <w:sz w:val="22"/>
              </w:rPr>
              <w:t xml:space="preserve">  Through development of ABC House and increased support on the ground.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4831" w14:textId="7548D9EE" w:rsidR="00302A3F" w:rsidRDefault="00302A3F">
            <w:pPr>
              <w:pStyle w:val="TableRowCentered"/>
              <w:jc w:val="left"/>
              <w:rPr>
                <w:sz w:val="22"/>
              </w:rPr>
            </w:pPr>
            <w:r>
              <w:rPr>
                <w:sz w:val="22"/>
              </w:rPr>
              <w:t>School data 23.24 shows pupils achieve their best possible outcomes when accessing provision in school rather than through AP.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3F44" w14:textId="06DD8044" w:rsidR="00302A3F" w:rsidRDefault="00302A3F">
            <w:pPr>
              <w:pStyle w:val="TableRowCentered"/>
              <w:jc w:val="left"/>
              <w:rPr>
                <w:sz w:val="22"/>
              </w:rPr>
            </w:pPr>
            <w:r>
              <w:rPr>
                <w:sz w:val="22"/>
              </w:rPr>
              <w:t>4</w:t>
            </w:r>
          </w:p>
        </w:tc>
      </w:tr>
      <w:tr w:rsidR="002B08CE" w14:paraId="110B12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F5117" w14:textId="582D3708" w:rsidR="002B08CE" w:rsidRDefault="002B08CE">
            <w:pPr>
              <w:pStyle w:val="TableRow"/>
              <w:rPr>
                <w:i/>
                <w:sz w:val="22"/>
              </w:rPr>
            </w:pPr>
            <w:proofErr w:type="spellStart"/>
            <w:r>
              <w:rPr>
                <w:i/>
                <w:sz w:val="22"/>
              </w:rPr>
              <w:t>Extra curricular</w:t>
            </w:r>
            <w:proofErr w:type="spellEnd"/>
            <w:r>
              <w:rPr>
                <w:i/>
                <w:sz w:val="22"/>
              </w:rPr>
              <w:t xml:space="preserve">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6AC03" w14:textId="56630A3C" w:rsidR="002B08CE" w:rsidRDefault="00290B77">
            <w:pPr>
              <w:pStyle w:val="TableRowCentered"/>
              <w:jc w:val="left"/>
              <w:rPr>
                <w:sz w:val="22"/>
              </w:rPr>
            </w:pPr>
            <w:r>
              <w:rPr>
                <w:sz w:val="22"/>
              </w:rPr>
              <w:t>Social Mobility Commission, An unequal playing field.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9B98" w14:textId="350442B2" w:rsidR="002B08CE" w:rsidRDefault="00290B77">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11D6A3F7" w:rsidR="00E66558" w:rsidRDefault="009D71E8" w:rsidP="00120AB1">
      <w:r>
        <w:rPr>
          <w:b/>
          <w:bCs/>
          <w:color w:val="104F75"/>
          <w:sz w:val="28"/>
          <w:szCs w:val="28"/>
        </w:rPr>
        <w:t xml:space="preserve">Total budgeted cost: £ </w:t>
      </w:r>
      <w:r w:rsidR="00D7752C">
        <w:rPr>
          <w:i/>
          <w:iCs/>
          <w:color w:val="104F75"/>
          <w:sz w:val="28"/>
          <w:szCs w:val="28"/>
        </w:rPr>
        <w:t>£53,610</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A906E5E">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651D8F" w14:textId="307E28F3" w:rsidR="0064167B" w:rsidRDefault="0064167B" w:rsidP="00242093">
            <w:pPr>
              <w:spacing w:before="60"/>
              <w:rPr>
                <w:i/>
                <w:iCs/>
                <w:lang w:eastAsia="en-US"/>
              </w:rPr>
            </w:pPr>
          </w:p>
          <w:p w14:paraId="163145E9" w14:textId="3E085F24" w:rsidR="009D4A1C" w:rsidRDefault="005E646B" w:rsidP="00242093">
            <w:pPr>
              <w:spacing w:before="60"/>
              <w:rPr>
                <w:i/>
                <w:iCs/>
                <w:lang w:eastAsia="en-US"/>
              </w:rPr>
            </w:pPr>
            <w:r>
              <w:rPr>
                <w:i/>
                <w:iCs/>
                <w:lang w:eastAsia="en-US"/>
              </w:rPr>
              <w:t>Sleuth data shows a decrease in incidents</w:t>
            </w:r>
            <w:r w:rsidR="009D4A1C">
              <w:rPr>
                <w:i/>
                <w:iCs/>
                <w:lang w:eastAsia="en-US"/>
              </w:rPr>
              <w:t xml:space="preserve"> of negative behaviour</w:t>
            </w:r>
            <w:r>
              <w:rPr>
                <w:i/>
                <w:iCs/>
                <w:lang w:eastAsia="en-US"/>
              </w:rPr>
              <w:t xml:space="preserve"> over the 22-23 academic year</w:t>
            </w:r>
            <w:r w:rsidR="009D4A1C">
              <w:rPr>
                <w:i/>
                <w:iCs/>
                <w:lang w:eastAsia="en-US"/>
              </w:rPr>
              <w:t>, see graph below</w:t>
            </w:r>
            <w:r w:rsidR="00667B4E">
              <w:rPr>
                <w:i/>
                <w:iCs/>
                <w:lang w:eastAsia="en-US"/>
              </w:rPr>
              <w:t xml:space="preserve">.  </w:t>
            </w:r>
          </w:p>
          <w:p w14:paraId="5404CED9" w14:textId="77777777" w:rsidR="009D4A1C" w:rsidRDefault="009D4A1C" w:rsidP="00242093">
            <w:pPr>
              <w:spacing w:before="60"/>
              <w:rPr>
                <w:i/>
                <w:iCs/>
                <w:lang w:eastAsia="en-US"/>
              </w:rPr>
            </w:pPr>
          </w:p>
          <w:p w14:paraId="6CD8F780" w14:textId="77777777" w:rsidR="009D4A1C" w:rsidRDefault="009D4A1C" w:rsidP="00242093">
            <w:pPr>
              <w:spacing w:before="60"/>
              <w:rPr>
                <w:i/>
                <w:iCs/>
                <w:lang w:eastAsia="en-US"/>
              </w:rPr>
            </w:pPr>
          </w:p>
          <w:p w14:paraId="2553EA56" w14:textId="4792FC6E" w:rsidR="009D4A1C" w:rsidRDefault="009D4A1C" w:rsidP="00242093">
            <w:pPr>
              <w:spacing w:before="60"/>
              <w:rPr>
                <w:i/>
                <w:iCs/>
                <w:lang w:eastAsia="en-US"/>
              </w:rPr>
            </w:pPr>
            <w:r>
              <w:rPr>
                <w:noProof/>
              </w:rPr>
              <w:drawing>
                <wp:inline distT="0" distB="0" distL="0" distR="0" wp14:anchorId="11F95238" wp14:editId="24D3EF15">
                  <wp:extent cx="4362450" cy="2333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435" t="23645" r="1451" b="3940"/>
                          <a:stretch/>
                        </pic:blipFill>
                        <pic:spPr bwMode="auto">
                          <a:xfrm>
                            <a:off x="0" y="0"/>
                            <a:ext cx="4362450" cy="2333625"/>
                          </a:xfrm>
                          <a:prstGeom prst="rect">
                            <a:avLst/>
                          </a:prstGeom>
                          <a:ln>
                            <a:noFill/>
                          </a:ln>
                          <a:extLst>
                            <a:ext uri="{53640926-AAD7-44D8-BBD7-CCE9431645EC}">
                              <a14:shadowObscured xmlns:a14="http://schemas.microsoft.com/office/drawing/2010/main"/>
                            </a:ext>
                          </a:extLst>
                        </pic:spPr>
                      </pic:pic>
                    </a:graphicData>
                  </a:graphic>
                </wp:inline>
              </w:drawing>
            </w:r>
          </w:p>
          <w:p w14:paraId="6CEADDAD" w14:textId="7DDA7781" w:rsidR="00FE2ECA" w:rsidRDefault="00FE2ECA" w:rsidP="00242093">
            <w:pPr>
              <w:spacing w:before="60"/>
              <w:rPr>
                <w:i/>
                <w:iCs/>
                <w:lang w:eastAsia="en-US"/>
              </w:rPr>
            </w:pPr>
            <w:r>
              <w:rPr>
                <w:noProof/>
              </w:rPr>
              <w:drawing>
                <wp:anchor distT="0" distB="0" distL="114300" distR="114300" simplePos="0" relativeHeight="251659264" behindDoc="0" locked="0" layoutInCell="1" allowOverlap="1" wp14:anchorId="630FF8B7" wp14:editId="76C570CE">
                  <wp:simplePos x="0" y="0"/>
                  <wp:positionH relativeFrom="column">
                    <wp:posOffset>0</wp:posOffset>
                  </wp:positionH>
                  <wp:positionV relativeFrom="paragraph">
                    <wp:posOffset>364490</wp:posOffset>
                  </wp:positionV>
                  <wp:extent cx="4298950" cy="24193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2380" t="20952" r="2615" b="5140"/>
                          <a:stretch/>
                        </pic:blipFill>
                        <pic:spPr bwMode="auto">
                          <a:xfrm>
                            <a:off x="0" y="0"/>
                            <a:ext cx="4298950" cy="2419350"/>
                          </a:xfrm>
                          <a:prstGeom prst="rect">
                            <a:avLst/>
                          </a:prstGeom>
                          <a:ln>
                            <a:noFill/>
                          </a:ln>
                          <a:extLst>
                            <a:ext uri="{53640926-AAD7-44D8-BBD7-CCE9431645EC}">
                              <a14:shadowObscured xmlns:a14="http://schemas.microsoft.com/office/drawing/2010/main"/>
                            </a:ext>
                          </a:extLst>
                        </pic:spPr>
                      </pic:pic>
                    </a:graphicData>
                  </a:graphic>
                </wp:anchor>
              </w:drawing>
            </w:r>
            <w:r>
              <w:rPr>
                <w:i/>
                <w:iCs/>
                <w:lang w:eastAsia="en-US"/>
              </w:rPr>
              <w:t>The number of incidents fell again during 23.24 and largely showed a downward trend:</w:t>
            </w:r>
          </w:p>
          <w:p w14:paraId="0AC66FEC" w14:textId="77777777" w:rsidR="00FE2ECA" w:rsidRDefault="00FE2ECA" w:rsidP="00242093">
            <w:pPr>
              <w:spacing w:before="60"/>
              <w:rPr>
                <w:i/>
                <w:iCs/>
                <w:lang w:eastAsia="en-US"/>
              </w:rPr>
            </w:pPr>
          </w:p>
          <w:p w14:paraId="27B19833" w14:textId="77777777" w:rsidR="00FE2ECA" w:rsidRDefault="00FE2ECA" w:rsidP="00242093">
            <w:pPr>
              <w:spacing w:before="60"/>
              <w:rPr>
                <w:i/>
                <w:iCs/>
                <w:lang w:eastAsia="en-US"/>
              </w:rPr>
            </w:pPr>
          </w:p>
          <w:p w14:paraId="26DE5FE4" w14:textId="77777777" w:rsidR="00FE2ECA" w:rsidRDefault="00FE2ECA" w:rsidP="00242093">
            <w:pPr>
              <w:spacing w:before="60"/>
              <w:rPr>
                <w:i/>
                <w:iCs/>
                <w:lang w:eastAsia="en-US"/>
              </w:rPr>
            </w:pPr>
          </w:p>
          <w:p w14:paraId="03139066" w14:textId="77777777" w:rsidR="00FE2ECA" w:rsidRDefault="00FE2ECA" w:rsidP="00242093">
            <w:pPr>
              <w:spacing w:before="60"/>
              <w:rPr>
                <w:i/>
                <w:iCs/>
                <w:lang w:eastAsia="en-US"/>
              </w:rPr>
            </w:pPr>
          </w:p>
          <w:p w14:paraId="66827909" w14:textId="77777777" w:rsidR="00FE2ECA" w:rsidRDefault="00FE2ECA" w:rsidP="00242093">
            <w:pPr>
              <w:spacing w:before="60"/>
              <w:rPr>
                <w:i/>
                <w:iCs/>
                <w:lang w:eastAsia="en-US"/>
              </w:rPr>
            </w:pPr>
          </w:p>
          <w:p w14:paraId="268252F1" w14:textId="77777777" w:rsidR="00FE2ECA" w:rsidRDefault="00FE2ECA" w:rsidP="00242093">
            <w:pPr>
              <w:spacing w:before="60"/>
              <w:rPr>
                <w:i/>
                <w:iCs/>
                <w:lang w:eastAsia="en-US"/>
              </w:rPr>
            </w:pPr>
          </w:p>
          <w:p w14:paraId="5FD3BD5D" w14:textId="77777777" w:rsidR="00FE2ECA" w:rsidRDefault="00FE2ECA" w:rsidP="00242093">
            <w:pPr>
              <w:spacing w:before="60"/>
              <w:rPr>
                <w:i/>
                <w:iCs/>
                <w:lang w:eastAsia="en-US"/>
              </w:rPr>
            </w:pPr>
          </w:p>
          <w:p w14:paraId="7649894B" w14:textId="7552671D" w:rsidR="005E646B" w:rsidRDefault="009D4A1C" w:rsidP="00242093">
            <w:pPr>
              <w:spacing w:before="60"/>
              <w:rPr>
                <w:i/>
                <w:iCs/>
                <w:lang w:eastAsia="en-US"/>
              </w:rPr>
            </w:pPr>
            <w:r>
              <w:rPr>
                <w:i/>
                <w:iCs/>
                <w:lang w:eastAsia="en-US"/>
              </w:rPr>
              <w:t xml:space="preserve">RPIs fell from 251 incidents recorded </w:t>
            </w:r>
            <w:r w:rsidR="00667B4E">
              <w:rPr>
                <w:i/>
                <w:iCs/>
                <w:lang w:eastAsia="en-US"/>
              </w:rPr>
              <w:t>in 21-22 to 169 incidents in 22-23</w:t>
            </w:r>
            <w:r w:rsidR="00FE2ECA">
              <w:rPr>
                <w:i/>
                <w:iCs/>
                <w:lang w:eastAsia="en-US"/>
              </w:rPr>
              <w:t xml:space="preserve"> and to 123 incidents in 23.24</w:t>
            </w:r>
            <w:r w:rsidR="00667B4E">
              <w:rPr>
                <w:i/>
                <w:iCs/>
                <w:lang w:eastAsia="en-US"/>
              </w:rPr>
              <w:t>.</w:t>
            </w:r>
          </w:p>
          <w:p w14:paraId="2AC0D425" w14:textId="53C995A8" w:rsidR="00490B92" w:rsidRDefault="00490B92" w:rsidP="00242093">
            <w:pPr>
              <w:spacing w:before="60"/>
              <w:rPr>
                <w:i/>
                <w:iCs/>
                <w:lang w:eastAsia="en-US"/>
              </w:rPr>
            </w:pPr>
            <w:r>
              <w:rPr>
                <w:i/>
                <w:iCs/>
                <w:lang w:eastAsia="en-US"/>
              </w:rPr>
              <w:t xml:space="preserve">Suspensions dropped from 81 suspensions in 21.22 to 73 in </w:t>
            </w:r>
            <w:r w:rsidR="009D4A1C">
              <w:rPr>
                <w:i/>
                <w:iCs/>
                <w:lang w:eastAsia="en-US"/>
              </w:rPr>
              <w:t>22.23, however the number of days lost to suspensions rose from 181 to 216.5 between 21.22 and 22.23.</w:t>
            </w:r>
            <w:r w:rsidR="00FE2ECA">
              <w:rPr>
                <w:i/>
                <w:iCs/>
                <w:lang w:eastAsia="en-US"/>
              </w:rPr>
              <w:t xml:space="preserve"> In 23/24 there were 41 incidents totalling 100 days.</w:t>
            </w:r>
          </w:p>
          <w:p w14:paraId="777F2193" w14:textId="4AECECBB" w:rsidR="0057499B" w:rsidRDefault="0057499B" w:rsidP="00242093">
            <w:pPr>
              <w:spacing w:before="60"/>
              <w:rPr>
                <w:i/>
                <w:iCs/>
                <w:lang w:eastAsia="en-US"/>
              </w:rPr>
            </w:pPr>
            <w:r>
              <w:rPr>
                <w:i/>
                <w:iCs/>
                <w:lang w:eastAsia="en-US"/>
              </w:rPr>
              <w:t>Pupils with highest number of incidents recorded during 23.24:</w:t>
            </w:r>
          </w:p>
          <w:p w14:paraId="7E428D75" w14:textId="236AEEBA" w:rsidR="0057499B" w:rsidRDefault="0057499B" w:rsidP="00242093">
            <w:pPr>
              <w:spacing w:before="60"/>
              <w:rPr>
                <w:i/>
                <w:iCs/>
                <w:lang w:eastAsia="en-US"/>
              </w:rPr>
            </w:pPr>
            <w:r>
              <w:rPr>
                <w:i/>
                <w:iCs/>
                <w:lang w:eastAsia="en-US"/>
              </w:rPr>
              <w:t>Of the top 5 PP pupils, 3 show a downward trend in number of incidents.</w:t>
            </w:r>
          </w:p>
          <w:p w14:paraId="406023E1" w14:textId="77777777" w:rsidR="0057499B" w:rsidRDefault="0057499B" w:rsidP="00242093">
            <w:pPr>
              <w:spacing w:before="60"/>
              <w:rPr>
                <w:i/>
                <w:iCs/>
                <w:lang w:eastAsia="en-US"/>
              </w:rPr>
            </w:pPr>
            <w:r>
              <w:rPr>
                <w:i/>
                <w:iCs/>
                <w:lang w:eastAsia="en-US"/>
              </w:rPr>
              <w:t>Attendance data shows:</w:t>
            </w:r>
          </w:p>
          <w:p w14:paraId="017F04A5" w14:textId="77777777" w:rsidR="0057499B" w:rsidRDefault="0057499B" w:rsidP="005749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All school, 1% increase between T1 and T6.</w:t>
            </w:r>
            <w:r>
              <w:rPr>
                <w:rStyle w:val="eop"/>
                <w:rFonts w:cs="Arial"/>
                <w:color w:val="000000"/>
                <w:sz w:val="22"/>
                <w:szCs w:val="22"/>
              </w:rPr>
              <w:t> </w:t>
            </w:r>
          </w:p>
          <w:p w14:paraId="00E1DB47" w14:textId="77777777" w:rsidR="0057499B" w:rsidRDefault="0057499B" w:rsidP="005749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Disadvantaged increase of 0.8% between T1-T6.</w:t>
            </w:r>
            <w:r>
              <w:rPr>
                <w:rStyle w:val="eop"/>
                <w:rFonts w:cs="Arial"/>
                <w:color w:val="000000"/>
                <w:sz w:val="22"/>
                <w:szCs w:val="22"/>
              </w:rPr>
              <w:t> </w:t>
            </w:r>
          </w:p>
          <w:p w14:paraId="73A5E225" w14:textId="77777777" w:rsidR="0057499B" w:rsidRDefault="0057499B" w:rsidP="005749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T6 – T1 all school 4.7%</w:t>
            </w:r>
            <w:r>
              <w:rPr>
                <w:rStyle w:val="eop"/>
                <w:rFonts w:cs="Arial"/>
                <w:color w:val="000000"/>
                <w:sz w:val="22"/>
                <w:szCs w:val="22"/>
              </w:rPr>
              <w:t> </w:t>
            </w:r>
          </w:p>
          <w:p w14:paraId="3DE1A95A" w14:textId="7F8CB35B" w:rsidR="0057499B" w:rsidRDefault="0057499B" w:rsidP="005749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T6 -T1 disadvantaged 4.8%</w:t>
            </w:r>
            <w:r>
              <w:rPr>
                <w:rStyle w:val="eop"/>
                <w:rFonts w:cs="Arial"/>
                <w:color w:val="000000"/>
                <w:sz w:val="22"/>
                <w:szCs w:val="22"/>
              </w:rPr>
              <w:t> </w:t>
            </w:r>
          </w:p>
          <w:p w14:paraId="0CD5C253" w14:textId="77777777" w:rsidR="0057499B" w:rsidRDefault="0057499B" w:rsidP="00242093">
            <w:pPr>
              <w:spacing w:before="60"/>
              <w:rPr>
                <w:i/>
                <w:iCs/>
                <w:lang w:eastAsia="en-US"/>
              </w:rPr>
            </w:pPr>
          </w:p>
          <w:p w14:paraId="3ED39C9E" w14:textId="5972312F" w:rsidR="0057499B" w:rsidRDefault="0057499B" w:rsidP="00242093">
            <w:pPr>
              <w:spacing w:before="60"/>
              <w:rPr>
                <w:i/>
                <w:iCs/>
                <w:lang w:eastAsia="en-US"/>
              </w:rPr>
            </w:pPr>
            <w:r>
              <w:rPr>
                <w:i/>
                <w:iCs/>
                <w:lang w:eastAsia="en-US"/>
              </w:rPr>
              <w:t>Reading data 23.24 shows:</w:t>
            </w:r>
          </w:p>
          <w:p w14:paraId="7B27480A" w14:textId="21692E86" w:rsidR="0057499B" w:rsidRDefault="0057499B" w:rsidP="00242093">
            <w:pPr>
              <w:spacing w:before="60"/>
              <w:rPr>
                <w:rStyle w:val="normaltextrun"/>
                <w:rFonts w:cs="Arial"/>
                <w:color w:val="000000"/>
                <w:sz w:val="22"/>
                <w:szCs w:val="22"/>
                <w:shd w:val="clear" w:color="auto" w:fill="FFFFFF"/>
              </w:rPr>
            </w:pPr>
            <w:r>
              <w:rPr>
                <w:rStyle w:val="normaltextrun"/>
                <w:rFonts w:cs="Arial"/>
                <w:color w:val="000000"/>
                <w:sz w:val="22"/>
                <w:szCs w:val="22"/>
                <w:shd w:val="clear" w:color="auto" w:fill="FFFFFF"/>
              </w:rPr>
              <w:t>More pupils improved their score by 12 months than did not, average increase was 2y3m. – 47% made more than 12 months progress.</w:t>
            </w:r>
            <w:r w:rsidR="00BF2EC7">
              <w:rPr>
                <w:rStyle w:val="normaltextrun"/>
                <w:rFonts w:cs="Arial"/>
                <w:color w:val="000000"/>
                <w:sz w:val="22"/>
                <w:szCs w:val="22"/>
                <w:shd w:val="clear" w:color="auto" w:fill="FFFFFF"/>
              </w:rPr>
              <w:t xml:space="preserve">  Pupil premium pupils increased their reading age by 1y7m.</w:t>
            </w:r>
          </w:p>
          <w:p w14:paraId="0A86BB91" w14:textId="537DF636" w:rsidR="00BF2EC7" w:rsidRDefault="00BF2EC7" w:rsidP="00242093">
            <w:pPr>
              <w:spacing w:before="60"/>
              <w:rPr>
                <w:rStyle w:val="normaltextrun"/>
              </w:rPr>
            </w:pPr>
            <w:r>
              <w:rPr>
                <w:rStyle w:val="normaltextrun"/>
              </w:rPr>
              <w:t>Progress data in Maths and English shows:</w:t>
            </w:r>
          </w:p>
          <w:p w14:paraId="4F978929" w14:textId="36C1F8AE" w:rsidR="00BF2EC7" w:rsidRDefault="00BF2EC7" w:rsidP="00242093">
            <w:pPr>
              <w:spacing w:before="60"/>
              <w:rPr>
                <w:rStyle w:val="normaltextrun"/>
              </w:rPr>
            </w:pPr>
            <w:r>
              <w:rPr>
                <w:rStyle w:val="normaltextrun"/>
              </w:rPr>
              <w:t xml:space="preserve">In English the percentage of PP pupils below target fell from 86% to 56% over the academic year. </w:t>
            </w:r>
          </w:p>
          <w:p w14:paraId="3CE6675C" w14:textId="4A6E0C9E" w:rsidR="00BF2EC7" w:rsidRDefault="00BF2EC7" w:rsidP="00242093">
            <w:pPr>
              <w:spacing w:before="60"/>
              <w:rPr>
                <w:rStyle w:val="normaltextrun"/>
              </w:rPr>
            </w:pPr>
            <w:r>
              <w:rPr>
                <w:rStyle w:val="normaltextrun"/>
              </w:rPr>
              <w:t>In Maths the percentage of PP pupils below target increased from 34% to 47%.</w:t>
            </w:r>
          </w:p>
          <w:p w14:paraId="5023926C" w14:textId="670E1B74" w:rsidR="0057499B" w:rsidRPr="0057499B" w:rsidRDefault="0057499B" w:rsidP="00242093">
            <w:pPr>
              <w:spacing w:before="60"/>
              <w:rPr>
                <w:iCs/>
                <w:lang w:eastAsia="en-US"/>
              </w:rPr>
            </w:pPr>
            <w:r w:rsidRPr="0057499B">
              <w:rPr>
                <w:iCs/>
                <w:lang w:eastAsia="en-US"/>
              </w:rPr>
              <w:t>All pupils had access to whole school trips that were well attended, including a trip to Bath</w:t>
            </w:r>
            <w:r w:rsidRPr="0057499B">
              <w:rPr>
                <w:rStyle w:val="normaltextrun"/>
                <w:rFonts w:cs="Arial"/>
                <w:sz w:val="22"/>
                <w:szCs w:val="22"/>
                <w:shd w:val="clear" w:color="auto" w:fill="FFFFFF"/>
              </w:rPr>
              <w:t xml:space="preserve"> theatre, HMS Great Britain and a DfE walk.  Other trips were provided for specific groups such as food trips to Ludlow food festival and the NEC, and a number of sports fixtures.</w:t>
            </w:r>
            <w:r w:rsidRPr="0057499B">
              <w:rPr>
                <w:rStyle w:val="eop"/>
                <w:rFonts w:cs="Arial"/>
                <w:sz w:val="22"/>
                <w:szCs w:val="22"/>
                <w:shd w:val="clear" w:color="auto" w:fill="FFFFFF"/>
              </w:rPr>
              <w:t> </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2AA63A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bookmarkEnd w:id="14"/>
    <w:bookmarkEnd w:id="15"/>
    <w:bookmarkEnd w:id="16"/>
    <w:p w14:paraId="01F0D165" w14:textId="1FC4C866" w:rsidR="0008384B" w:rsidRDefault="0008384B" w:rsidP="0008384B"/>
    <w:sectPr w:rsidR="0008384B">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309A1" w14:textId="77777777" w:rsidR="00164D20" w:rsidRDefault="00164D20">
      <w:pPr>
        <w:spacing w:after="0" w:line="240" w:lineRule="auto"/>
      </w:pPr>
      <w:r>
        <w:separator/>
      </w:r>
    </w:p>
  </w:endnote>
  <w:endnote w:type="continuationSeparator" w:id="0">
    <w:p w14:paraId="19B9D60E" w14:textId="77777777" w:rsidR="00164D20" w:rsidRDefault="00164D20">
      <w:pPr>
        <w:spacing w:after="0" w:line="240" w:lineRule="auto"/>
      </w:pPr>
      <w:r>
        <w:continuationSeparator/>
      </w:r>
    </w:p>
  </w:endnote>
  <w:endnote w:type="continuationNotice" w:id="1">
    <w:p w14:paraId="31C2C736" w14:textId="77777777" w:rsidR="00164D20" w:rsidRDefault="00164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C324" w14:textId="77777777" w:rsidR="00164D20" w:rsidRDefault="00164D20">
      <w:pPr>
        <w:spacing w:after="0" w:line="240" w:lineRule="auto"/>
      </w:pPr>
      <w:r>
        <w:separator/>
      </w:r>
    </w:p>
  </w:footnote>
  <w:footnote w:type="continuationSeparator" w:id="0">
    <w:p w14:paraId="0E143D13" w14:textId="77777777" w:rsidR="00164D20" w:rsidRDefault="00164D20">
      <w:pPr>
        <w:spacing w:after="0" w:line="240" w:lineRule="auto"/>
      </w:pPr>
      <w:r>
        <w:continuationSeparator/>
      </w:r>
    </w:p>
  </w:footnote>
  <w:footnote w:type="continuationNotice" w:id="1">
    <w:p w14:paraId="40311F04" w14:textId="77777777" w:rsidR="00164D20" w:rsidRDefault="00164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829"/>
    <w:multiLevelType w:val="hybridMultilevel"/>
    <w:tmpl w:val="54B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2C8395A"/>
    <w:multiLevelType w:val="hybridMultilevel"/>
    <w:tmpl w:val="C1B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00E5C"/>
    <w:multiLevelType w:val="hybridMultilevel"/>
    <w:tmpl w:val="3530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BA1578"/>
    <w:multiLevelType w:val="hybridMultilevel"/>
    <w:tmpl w:val="93BE74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A955EA0"/>
    <w:multiLevelType w:val="multilevel"/>
    <w:tmpl w:val="C2D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0388702">
    <w:abstractNumId w:val="4"/>
  </w:num>
  <w:num w:numId="2" w16cid:durableId="1933195194">
    <w:abstractNumId w:val="2"/>
  </w:num>
  <w:num w:numId="3" w16cid:durableId="468860060">
    <w:abstractNumId w:val="5"/>
  </w:num>
  <w:num w:numId="4" w16cid:durableId="1344896351">
    <w:abstractNumId w:val="6"/>
  </w:num>
  <w:num w:numId="5" w16cid:durableId="1622229782">
    <w:abstractNumId w:val="1"/>
  </w:num>
  <w:num w:numId="6" w16cid:durableId="1535387557">
    <w:abstractNumId w:val="7"/>
  </w:num>
  <w:num w:numId="7" w16cid:durableId="1581716228">
    <w:abstractNumId w:val="14"/>
  </w:num>
  <w:num w:numId="8" w16cid:durableId="395588306">
    <w:abstractNumId w:val="18"/>
  </w:num>
  <w:num w:numId="9" w16cid:durableId="201866930">
    <w:abstractNumId w:val="16"/>
  </w:num>
  <w:num w:numId="10" w16cid:durableId="826214995">
    <w:abstractNumId w:val="15"/>
  </w:num>
  <w:num w:numId="11" w16cid:durableId="634526236">
    <w:abstractNumId w:val="3"/>
  </w:num>
  <w:num w:numId="12" w16cid:durableId="1620449763">
    <w:abstractNumId w:val="17"/>
  </w:num>
  <w:num w:numId="13" w16cid:durableId="487212859">
    <w:abstractNumId w:val="13"/>
  </w:num>
  <w:num w:numId="14" w16cid:durableId="308168651">
    <w:abstractNumId w:val="9"/>
  </w:num>
  <w:num w:numId="15" w16cid:durableId="1580485395">
    <w:abstractNumId w:val="10"/>
  </w:num>
  <w:num w:numId="16" w16cid:durableId="1988783853">
    <w:abstractNumId w:val="8"/>
  </w:num>
  <w:num w:numId="17" w16cid:durableId="50277860">
    <w:abstractNumId w:val="11"/>
  </w:num>
  <w:num w:numId="18" w16cid:durableId="1469670129">
    <w:abstractNumId w:val="0"/>
  </w:num>
  <w:num w:numId="19" w16cid:durableId="1057439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344A5"/>
    <w:rsid w:val="00140646"/>
    <w:rsid w:val="00147A4B"/>
    <w:rsid w:val="00152554"/>
    <w:rsid w:val="00155944"/>
    <w:rsid w:val="001559D7"/>
    <w:rsid w:val="00164D20"/>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C749C"/>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0B77"/>
    <w:rsid w:val="002920F4"/>
    <w:rsid w:val="002940F3"/>
    <w:rsid w:val="00295842"/>
    <w:rsid w:val="002B08CE"/>
    <w:rsid w:val="002B3574"/>
    <w:rsid w:val="002B6B74"/>
    <w:rsid w:val="002C6AE7"/>
    <w:rsid w:val="002D2D4B"/>
    <w:rsid w:val="002D3805"/>
    <w:rsid w:val="002E66AE"/>
    <w:rsid w:val="002E7763"/>
    <w:rsid w:val="002F4C6F"/>
    <w:rsid w:val="002F5011"/>
    <w:rsid w:val="002F5842"/>
    <w:rsid w:val="002F7847"/>
    <w:rsid w:val="00302A3F"/>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3F6090"/>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90B92"/>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777"/>
    <w:rsid w:val="00546F12"/>
    <w:rsid w:val="0055339C"/>
    <w:rsid w:val="005542CC"/>
    <w:rsid w:val="00560424"/>
    <w:rsid w:val="00562B3C"/>
    <w:rsid w:val="00564E40"/>
    <w:rsid w:val="0057499B"/>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646B"/>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67B4E"/>
    <w:rsid w:val="00672A7D"/>
    <w:rsid w:val="00681416"/>
    <w:rsid w:val="006A06F5"/>
    <w:rsid w:val="006A0ED2"/>
    <w:rsid w:val="006B0A73"/>
    <w:rsid w:val="006B5A6B"/>
    <w:rsid w:val="006C0F82"/>
    <w:rsid w:val="006C25E8"/>
    <w:rsid w:val="006C260B"/>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3817"/>
    <w:rsid w:val="00794070"/>
    <w:rsid w:val="007A63CA"/>
    <w:rsid w:val="007A713B"/>
    <w:rsid w:val="007A7DA0"/>
    <w:rsid w:val="007B64E5"/>
    <w:rsid w:val="007C2F04"/>
    <w:rsid w:val="007F06E5"/>
    <w:rsid w:val="007F5B8B"/>
    <w:rsid w:val="008170CB"/>
    <w:rsid w:val="00817E9A"/>
    <w:rsid w:val="0082014A"/>
    <w:rsid w:val="00827786"/>
    <w:rsid w:val="00827BDA"/>
    <w:rsid w:val="00830D57"/>
    <w:rsid w:val="00831F00"/>
    <w:rsid w:val="0084538F"/>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3132"/>
    <w:rsid w:val="008F4675"/>
    <w:rsid w:val="008F50FE"/>
    <w:rsid w:val="008F69CD"/>
    <w:rsid w:val="00901E60"/>
    <w:rsid w:val="00903F64"/>
    <w:rsid w:val="00904A66"/>
    <w:rsid w:val="00905029"/>
    <w:rsid w:val="009103DE"/>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84B34"/>
    <w:rsid w:val="0099109C"/>
    <w:rsid w:val="009936DB"/>
    <w:rsid w:val="00993CFC"/>
    <w:rsid w:val="009A0F97"/>
    <w:rsid w:val="009A1DC2"/>
    <w:rsid w:val="009A5EEA"/>
    <w:rsid w:val="009B0906"/>
    <w:rsid w:val="009B38F2"/>
    <w:rsid w:val="009B7433"/>
    <w:rsid w:val="009C0914"/>
    <w:rsid w:val="009C27E5"/>
    <w:rsid w:val="009D24A1"/>
    <w:rsid w:val="009D3891"/>
    <w:rsid w:val="009D4A1C"/>
    <w:rsid w:val="009D71E8"/>
    <w:rsid w:val="009E104B"/>
    <w:rsid w:val="009E7DE4"/>
    <w:rsid w:val="009F3BBD"/>
    <w:rsid w:val="00A022AB"/>
    <w:rsid w:val="00A0491A"/>
    <w:rsid w:val="00A063DD"/>
    <w:rsid w:val="00A112B5"/>
    <w:rsid w:val="00A14EEA"/>
    <w:rsid w:val="00A241A1"/>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001B"/>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2EC7"/>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7752C"/>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32A3E"/>
    <w:rsid w:val="00E4286E"/>
    <w:rsid w:val="00E43EAD"/>
    <w:rsid w:val="00E62DCB"/>
    <w:rsid w:val="00E651DD"/>
    <w:rsid w:val="00E66558"/>
    <w:rsid w:val="00E70D81"/>
    <w:rsid w:val="00E726A6"/>
    <w:rsid w:val="00E73418"/>
    <w:rsid w:val="00E763A3"/>
    <w:rsid w:val="00E8109E"/>
    <w:rsid w:val="00E86F05"/>
    <w:rsid w:val="00EA0832"/>
    <w:rsid w:val="00EA3A2A"/>
    <w:rsid w:val="00EB4556"/>
    <w:rsid w:val="00EB64C8"/>
    <w:rsid w:val="00ED4136"/>
    <w:rsid w:val="00ED5108"/>
    <w:rsid w:val="00ED6AE8"/>
    <w:rsid w:val="00EE2CB2"/>
    <w:rsid w:val="00F012CA"/>
    <w:rsid w:val="00F01752"/>
    <w:rsid w:val="00F017D2"/>
    <w:rsid w:val="00F0355A"/>
    <w:rsid w:val="00F04984"/>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2ECA"/>
    <w:rsid w:val="00FE3136"/>
    <w:rsid w:val="00FE50A3"/>
    <w:rsid w:val="00FE5204"/>
    <w:rsid w:val="00FE604C"/>
    <w:rsid w:val="00FF369D"/>
    <w:rsid w:val="00FF6FB0"/>
    <w:rsid w:val="00FF79A8"/>
    <w:rsid w:val="05B6D577"/>
    <w:rsid w:val="069AA0E3"/>
    <w:rsid w:val="07FFD3D3"/>
    <w:rsid w:val="0B240EAF"/>
    <w:rsid w:val="0F5F8E84"/>
    <w:rsid w:val="13173609"/>
    <w:rsid w:val="18417531"/>
    <w:rsid w:val="1A172959"/>
    <w:rsid w:val="1CBF4D92"/>
    <w:rsid w:val="2497129E"/>
    <w:rsid w:val="2723F5A7"/>
    <w:rsid w:val="27F34FEF"/>
    <w:rsid w:val="27FBC5DF"/>
    <w:rsid w:val="2860AB8E"/>
    <w:rsid w:val="2DDECAE0"/>
    <w:rsid w:val="2FFB967E"/>
    <w:rsid w:val="31CC4DD9"/>
    <w:rsid w:val="36B0163C"/>
    <w:rsid w:val="380BAE89"/>
    <w:rsid w:val="3A3F1ACF"/>
    <w:rsid w:val="3BE13FA2"/>
    <w:rsid w:val="3EA4202B"/>
    <w:rsid w:val="418407A1"/>
    <w:rsid w:val="468E4146"/>
    <w:rsid w:val="491E3A64"/>
    <w:rsid w:val="4BF69EA0"/>
    <w:rsid w:val="4D539559"/>
    <w:rsid w:val="4ECD3738"/>
    <w:rsid w:val="5726C435"/>
    <w:rsid w:val="5A906E5E"/>
    <w:rsid w:val="5C40C457"/>
    <w:rsid w:val="5F3A7B6B"/>
    <w:rsid w:val="5F65132C"/>
    <w:rsid w:val="5FFA18FD"/>
    <w:rsid w:val="617B4808"/>
    <w:rsid w:val="625D1A15"/>
    <w:rsid w:val="6D28B1AF"/>
    <w:rsid w:val="6D616F43"/>
    <w:rsid w:val="6EAC1BA9"/>
    <w:rsid w:val="6EB73EE5"/>
    <w:rsid w:val="732C1D7C"/>
    <w:rsid w:val="75B7E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paragraph">
    <w:name w:val="paragraph"/>
    <w:basedOn w:val="Normal"/>
    <w:rsid w:val="0057499B"/>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57499B"/>
  </w:style>
  <w:style w:type="character" w:customStyle="1" w:styleId="eop">
    <w:name w:val="eop"/>
    <w:basedOn w:val="DefaultParagraphFont"/>
    <w:rsid w:val="0057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30916223">
      <w:bodyDiv w:val="1"/>
      <w:marLeft w:val="0"/>
      <w:marRight w:val="0"/>
      <w:marTop w:val="0"/>
      <w:marBottom w:val="0"/>
      <w:divBdr>
        <w:top w:val="none" w:sz="0" w:space="0" w:color="auto"/>
        <w:left w:val="none" w:sz="0" w:space="0" w:color="auto"/>
        <w:bottom w:val="none" w:sz="0" w:space="0" w:color="auto"/>
        <w:right w:val="none" w:sz="0" w:space="0" w:color="auto"/>
      </w:divBdr>
      <w:divsChild>
        <w:div w:id="778567725">
          <w:marLeft w:val="0"/>
          <w:marRight w:val="0"/>
          <w:marTop w:val="0"/>
          <w:marBottom w:val="0"/>
          <w:divBdr>
            <w:top w:val="none" w:sz="0" w:space="0" w:color="auto"/>
            <w:left w:val="none" w:sz="0" w:space="0" w:color="auto"/>
            <w:bottom w:val="none" w:sz="0" w:space="0" w:color="auto"/>
            <w:right w:val="none" w:sz="0" w:space="0" w:color="auto"/>
          </w:divBdr>
        </w:div>
        <w:div w:id="1491409177">
          <w:marLeft w:val="0"/>
          <w:marRight w:val="0"/>
          <w:marTop w:val="0"/>
          <w:marBottom w:val="0"/>
          <w:divBdr>
            <w:top w:val="none" w:sz="0" w:space="0" w:color="auto"/>
            <w:left w:val="none" w:sz="0" w:space="0" w:color="auto"/>
            <w:bottom w:val="none" w:sz="0" w:space="0" w:color="auto"/>
            <w:right w:val="none" w:sz="0" w:space="0" w:color="auto"/>
          </w:divBdr>
        </w:div>
        <w:div w:id="1551258941">
          <w:marLeft w:val="0"/>
          <w:marRight w:val="0"/>
          <w:marTop w:val="0"/>
          <w:marBottom w:val="0"/>
          <w:divBdr>
            <w:top w:val="none" w:sz="0" w:space="0" w:color="auto"/>
            <w:left w:val="none" w:sz="0" w:space="0" w:color="auto"/>
            <w:bottom w:val="none" w:sz="0" w:space="0" w:color="auto"/>
            <w:right w:val="none" w:sz="0" w:space="0" w:color="auto"/>
          </w:divBdr>
        </w:div>
        <w:div w:id="435097311">
          <w:marLeft w:val="0"/>
          <w:marRight w:val="0"/>
          <w:marTop w:val="0"/>
          <w:marBottom w:val="0"/>
          <w:divBdr>
            <w:top w:val="none" w:sz="0" w:space="0" w:color="auto"/>
            <w:left w:val="none" w:sz="0" w:space="0" w:color="auto"/>
            <w:bottom w:val="none" w:sz="0" w:space="0" w:color="auto"/>
            <w:right w:val="none" w:sz="0" w:space="0" w:color="auto"/>
          </w:divBdr>
        </w:div>
      </w:divsChild>
    </w:div>
    <w:div w:id="80265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f1b0c8-44f6-498d-b03e-50c679bf09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2841E1299DD4FBCC61E5DD75914C5" ma:contentTypeVersion="10" ma:contentTypeDescription="Create a new document." ma:contentTypeScope="" ma:versionID="c9b3985e8675934cac6c440ae38b16a0">
  <xsd:schema xmlns:xsd="http://www.w3.org/2001/XMLSchema" xmlns:xs="http://www.w3.org/2001/XMLSchema" xmlns:p="http://schemas.microsoft.com/office/2006/metadata/properties" xmlns:ns3="47f1b0c8-44f6-498d-b03e-50c679bf09ca" targetNamespace="http://schemas.microsoft.com/office/2006/metadata/properties" ma:root="true" ma:fieldsID="3ce9dce6065732064acee3599a588259" ns3:_="">
    <xsd:import namespace="47f1b0c8-44f6-498d-b03e-50c679bf09c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b0c8-44f6-498d-b03e-50c679bf0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DF30F-6645-4C07-A2D8-1AFAEEC10457}">
  <ds:schemaRefs>
    <ds:schemaRef ds:uri="http://schemas.microsoft.com/office/2006/metadata/properties"/>
    <ds:schemaRef ds:uri="http://schemas.microsoft.com/office/infopath/2007/PartnerControls"/>
    <ds:schemaRef ds:uri="47f1b0c8-44f6-498d-b03e-50c679bf09ca"/>
  </ds:schemaRefs>
</ds:datastoreItem>
</file>

<file path=customXml/itemProps2.xml><?xml version="1.0" encoding="utf-8"?>
<ds:datastoreItem xmlns:ds="http://schemas.openxmlformats.org/officeDocument/2006/customXml" ds:itemID="{9084D444-1C4A-4814-AB87-6E92BCDC0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b0c8-44f6-498d-b03e-50c679bf0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4F1F6-E931-451D-B8FF-423E0E4F1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Elisa Entwistle</cp:lastModifiedBy>
  <cp:revision>2</cp:revision>
  <cp:lastPrinted>2014-09-18T05:26:00Z</cp:lastPrinted>
  <dcterms:created xsi:type="dcterms:W3CDTF">2025-01-13T19:32:00Z</dcterms:created>
  <dcterms:modified xsi:type="dcterms:W3CDTF">2025-01-13T19:32:00Z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0x010100F9D2841E1299DD4FBCC61E5DD75914C5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